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FCBF1A6" w14:textId="77777777" w:rsidR="00F51D7C" w:rsidRDefault="00304AA5">
      <w:pPr>
        <w:jc w:val="center"/>
      </w:pPr>
      <w:r>
        <w:rPr>
          <w:b/>
          <w:sz w:val="24"/>
        </w:rPr>
        <w:t>POLICY STATEMENTS</w:t>
      </w:r>
    </w:p>
    <w:p w14:paraId="6E02256C" w14:textId="77777777" w:rsidR="0092587A" w:rsidRDefault="0092587A">
      <w:pPr>
        <w:rPr>
          <w:b/>
          <w:sz w:val="24"/>
        </w:rPr>
      </w:pPr>
    </w:p>
    <w:p w14:paraId="6362A24F" w14:textId="5BC8121E" w:rsidR="00F51D7C" w:rsidRPr="009B5EC8" w:rsidRDefault="009B6207" w:rsidP="009B5EC8">
      <w:pPr>
        <w:jc w:val="center"/>
        <w:rPr>
          <w:sz w:val="28"/>
          <w:szCs w:val="28"/>
        </w:rPr>
      </w:pPr>
      <w:r>
        <w:rPr>
          <w:b/>
          <w:sz w:val="28"/>
          <w:szCs w:val="28"/>
        </w:rPr>
        <w:t>Engaging Families</w:t>
      </w:r>
      <w:r w:rsidR="00A668F2">
        <w:rPr>
          <w:b/>
          <w:sz w:val="28"/>
          <w:szCs w:val="28"/>
        </w:rPr>
        <w:t xml:space="preserve"> </w:t>
      </w:r>
      <w:r>
        <w:rPr>
          <w:b/>
          <w:sz w:val="28"/>
          <w:szCs w:val="28"/>
        </w:rPr>
        <w:t>in Child Safety</w:t>
      </w:r>
    </w:p>
    <w:p w14:paraId="59F99720" w14:textId="77777777" w:rsidR="00F51D7C" w:rsidRDefault="00F51D7C"/>
    <w:p w14:paraId="57278C14" w14:textId="63B2B021" w:rsidR="00350FFF" w:rsidRPr="00FA0470" w:rsidRDefault="00FD724B" w:rsidP="009B5EC8">
      <w:pPr>
        <w:rPr>
          <w:sz w:val="24"/>
        </w:rPr>
      </w:pPr>
      <w:r w:rsidRPr="00EA0F5B">
        <w:rPr>
          <w:bCs/>
          <w:sz w:val="24"/>
        </w:rPr>
        <w:t xml:space="preserve">This </w:t>
      </w:r>
      <w:r w:rsidR="00607628">
        <w:rPr>
          <w:bCs/>
          <w:sz w:val="24"/>
        </w:rPr>
        <w:t>p</w:t>
      </w:r>
      <w:r w:rsidRPr="00EA0F5B">
        <w:rPr>
          <w:bCs/>
          <w:sz w:val="24"/>
        </w:rPr>
        <w:t>olicy applies to Avenue Neighbourhood House @ Eley (</w:t>
      </w:r>
      <w:r w:rsidR="00350FFF" w:rsidRPr="00EA0F5B">
        <w:rPr>
          <w:bCs/>
          <w:sz w:val="24"/>
        </w:rPr>
        <w:t>ANH@E</w:t>
      </w:r>
      <w:r w:rsidRPr="00EA0F5B">
        <w:rPr>
          <w:bCs/>
          <w:sz w:val="24"/>
        </w:rPr>
        <w:t>)</w:t>
      </w:r>
      <w:r w:rsidR="00350FFF" w:rsidRPr="00EA0F5B">
        <w:rPr>
          <w:bCs/>
          <w:sz w:val="24"/>
        </w:rPr>
        <w:t xml:space="preserve"> </w:t>
      </w:r>
      <w:r w:rsidR="009A6525" w:rsidRPr="009A6525">
        <w:rPr>
          <w:sz w:val="24"/>
          <w:highlight w:val="yellow"/>
        </w:rPr>
        <w:t>Board</w:t>
      </w:r>
      <w:r w:rsidR="00350FFF" w:rsidRPr="00EA0F5B">
        <w:rPr>
          <w:sz w:val="24"/>
        </w:rPr>
        <w:t xml:space="preserve">, </w:t>
      </w:r>
      <w:r w:rsidR="009B5EC8" w:rsidRPr="00EA0F5B">
        <w:rPr>
          <w:sz w:val="24"/>
        </w:rPr>
        <w:t>s</w:t>
      </w:r>
      <w:r w:rsidR="00350FFF" w:rsidRPr="00EA0F5B">
        <w:rPr>
          <w:sz w:val="24"/>
        </w:rPr>
        <w:t>taff</w:t>
      </w:r>
      <w:r w:rsidR="009B5EC8" w:rsidRPr="00EA0F5B">
        <w:rPr>
          <w:sz w:val="24"/>
        </w:rPr>
        <w:t>, volunteers, contractors, and any other person who performs work for</w:t>
      </w:r>
      <w:r w:rsidR="00035C68" w:rsidRPr="00EA0F5B">
        <w:rPr>
          <w:sz w:val="24"/>
        </w:rPr>
        <w:t>,</w:t>
      </w:r>
      <w:r w:rsidR="009B5EC8" w:rsidRPr="00EA0F5B">
        <w:rPr>
          <w:sz w:val="24"/>
        </w:rPr>
        <w:t xml:space="preserve"> or delivers services on behalf of</w:t>
      </w:r>
      <w:r w:rsidR="00035C68" w:rsidRPr="00EA0F5B">
        <w:rPr>
          <w:sz w:val="24"/>
        </w:rPr>
        <w:t>,</w:t>
      </w:r>
      <w:r w:rsidR="009B5EC8" w:rsidRPr="00EA0F5B">
        <w:rPr>
          <w:sz w:val="24"/>
        </w:rPr>
        <w:t xml:space="preserve"> Avenue Neighbourhood House @ Eley.</w:t>
      </w:r>
      <w:r w:rsidR="00350FFF" w:rsidRPr="00FA0470">
        <w:rPr>
          <w:sz w:val="24"/>
        </w:rPr>
        <w:t xml:space="preserve"> </w:t>
      </w:r>
    </w:p>
    <w:p w14:paraId="2335B2DC" w14:textId="77777777" w:rsidR="00350FFF" w:rsidRDefault="00350FFF"/>
    <w:p w14:paraId="5E1B625C" w14:textId="677D3F52" w:rsidR="007E4D85" w:rsidRDefault="009B6207">
      <w:pPr>
        <w:rPr>
          <w:b/>
          <w:sz w:val="24"/>
        </w:rPr>
      </w:pPr>
      <w:r>
        <w:rPr>
          <w:b/>
          <w:sz w:val="24"/>
        </w:rPr>
        <w:t>Guiding Principles</w:t>
      </w:r>
      <w:r w:rsidR="00304AA5">
        <w:rPr>
          <w:b/>
          <w:sz w:val="24"/>
        </w:rPr>
        <w:tab/>
      </w:r>
    </w:p>
    <w:p w14:paraId="44B5B2D2" w14:textId="4EC2602E" w:rsidR="009B6207" w:rsidRDefault="009B6207" w:rsidP="009B6207">
      <w:pPr>
        <w:rPr>
          <w:sz w:val="24"/>
          <w:szCs w:val="24"/>
        </w:rPr>
      </w:pPr>
      <w:r w:rsidRPr="00EA0F5B">
        <w:rPr>
          <w:sz w:val="24"/>
          <w:szCs w:val="24"/>
        </w:rPr>
        <w:t xml:space="preserve">At Avenue Neighbourhood House, the following principles underpin our commitment to family engagement: </w:t>
      </w:r>
    </w:p>
    <w:p w14:paraId="11F09304" w14:textId="77777777" w:rsidR="009B6207" w:rsidRPr="00EA0F5B" w:rsidRDefault="009B6207" w:rsidP="009B6207">
      <w:pPr>
        <w:rPr>
          <w:color w:val="auto"/>
          <w:sz w:val="24"/>
          <w:szCs w:val="24"/>
        </w:rPr>
      </w:pPr>
    </w:p>
    <w:p w14:paraId="0999F6F6" w14:textId="4ECCC148" w:rsidR="009B6207" w:rsidRPr="00EA0F5B" w:rsidRDefault="009B6207" w:rsidP="00EA0F5B">
      <w:pPr>
        <w:numPr>
          <w:ilvl w:val="0"/>
          <w:numId w:val="7"/>
        </w:numPr>
        <w:rPr>
          <w:sz w:val="24"/>
          <w:szCs w:val="24"/>
        </w:rPr>
      </w:pPr>
      <w:r w:rsidRPr="00EA0F5B">
        <w:rPr>
          <w:sz w:val="24"/>
          <w:szCs w:val="24"/>
        </w:rPr>
        <w:t xml:space="preserve">Parents/Guardians/Carers should have the opportunity to participate in decisions relating to child safety and wellbeing which affect their child. </w:t>
      </w:r>
    </w:p>
    <w:p w14:paraId="72A3F895" w14:textId="6792D368" w:rsidR="009B6207" w:rsidRPr="00EA0F5B" w:rsidRDefault="009B6207" w:rsidP="00EA0F5B">
      <w:pPr>
        <w:numPr>
          <w:ilvl w:val="0"/>
          <w:numId w:val="7"/>
        </w:numPr>
        <w:rPr>
          <w:sz w:val="24"/>
          <w:szCs w:val="24"/>
        </w:rPr>
      </w:pPr>
      <w:r w:rsidRPr="00EA0F5B">
        <w:rPr>
          <w:sz w:val="24"/>
          <w:szCs w:val="24"/>
        </w:rPr>
        <w:t xml:space="preserve">Avenue Neighbourhood House engages and openly communicates with Parents/Guardians/Carers and other members of </w:t>
      </w:r>
      <w:proofErr w:type="gramStart"/>
      <w:r w:rsidRPr="00EA0F5B">
        <w:rPr>
          <w:sz w:val="24"/>
          <w:szCs w:val="24"/>
        </w:rPr>
        <w:t>the  community</w:t>
      </w:r>
      <w:proofErr w:type="gramEnd"/>
      <w:r w:rsidRPr="00EA0F5B">
        <w:rPr>
          <w:sz w:val="24"/>
          <w:szCs w:val="24"/>
        </w:rPr>
        <w:t xml:space="preserve"> about our child safe approach. </w:t>
      </w:r>
    </w:p>
    <w:p w14:paraId="17845555" w14:textId="06C53904" w:rsidR="009B6207" w:rsidRPr="00EA0F5B" w:rsidRDefault="009B6207" w:rsidP="00EA0F5B">
      <w:pPr>
        <w:numPr>
          <w:ilvl w:val="0"/>
          <w:numId w:val="7"/>
        </w:numPr>
        <w:rPr>
          <w:sz w:val="24"/>
          <w:szCs w:val="24"/>
        </w:rPr>
      </w:pPr>
      <w:r w:rsidRPr="00EA0F5B">
        <w:rPr>
          <w:sz w:val="24"/>
          <w:szCs w:val="24"/>
        </w:rPr>
        <w:t xml:space="preserve">Parents/Guardians/Carers and other members of the community must have the opportunity to provide input into the development and review of </w:t>
      </w:r>
      <w:proofErr w:type="gramStart"/>
      <w:r w:rsidRPr="00EA0F5B">
        <w:rPr>
          <w:sz w:val="24"/>
          <w:szCs w:val="24"/>
        </w:rPr>
        <w:t>the  policies</w:t>
      </w:r>
      <w:proofErr w:type="gramEnd"/>
      <w:r w:rsidRPr="00EA0F5B">
        <w:rPr>
          <w:sz w:val="24"/>
          <w:szCs w:val="24"/>
        </w:rPr>
        <w:t xml:space="preserve"> and practices relating to child safety and wellbeing. </w:t>
      </w:r>
    </w:p>
    <w:p w14:paraId="4ACA5241" w14:textId="57290812" w:rsidR="009B6207" w:rsidRPr="00EA0F5B" w:rsidRDefault="009B6207" w:rsidP="00EA0F5B">
      <w:pPr>
        <w:numPr>
          <w:ilvl w:val="0"/>
          <w:numId w:val="7"/>
        </w:numPr>
        <w:rPr>
          <w:sz w:val="24"/>
          <w:szCs w:val="24"/>
        </w:rPr>
      </w:pPr>
      <w:r w:rsidRPr="00EA0F5B">
        <w:rPr>
          <w:sz w:val="24"/>
          <w:szCs w:val="24"/>
        </w:rPr>
        <w:t>Parents/Guardians/Carers and other members of the community have the right to be informed about the operations and governance of the Avenue in relation to child safety and wellbeing.</w:t>
      </w:r>
    </w:p>
    <w:p w14:paraId="25C6222C" w14:textId="77777777" w:rsidR="009B6207" w:rsidRDefault="009B6207">
      <w:pPr>
        <w:rPr>
          <w:sz w:val="24"/>
        </w:rPr>
      </w:pPr>
    </w:p>
    <w:p w14:paraId="1A780778" w14:textId="16BECAD0" w:rsidR="009B6207" w:rsidRDefault="009B6207">
      <w:pPr>
        <w:rPr>
          <w:sz w:val="24"/>
        </w:rPr>
      </w:pPr>
      <w:r w:rsidRPr="006275A3">
        <w:rPr>
          <w:b/>
          <w:bCs/>
          <w:iCs/>
          <w:color w:val="auto"/>
          <w:sz w:val="24"/>
          <w:szCs w:val="24"/>
          <w:lang w:eastAsia="en-US"/>
        </w:rPr>
        <w:t>Procedure</w:t>
      </w:r>
      <w:r>
        <w:rPr>
          <w:b/>
          <w:bCs/>
          <w:iCs/>
          <w:color w:val="auto"/>
          <w:sz w:val="24"/>
          <w:szCs w:val="24"/>
          <w:lang w:eastAsia="en-US"/>
        </w:rPr>
        <w:t>:</w:t>
      </w:r>
    </w:p>
    <w:p w14:paraId="42617674" w14:textId="6E709B7A" w:rsidR="009B6207" w:rsidRPr="009B6207" w:rsidRDefault="009B6207" w:rsidP="009B6207">
      <w:pPr>
        <w:rPr>
          <w:sz w:val="24"/>
        </w:rPr>
      </w:pPr>
      <w:r w:rsidRPr="009B6207">
        <w:rPr>
          <w:sz w:val="24"/>
        </w:rPr>
        <w:t>Avenue Neighbourhood House is committed to ensuring that all members of our community are kept informed about relevant child safety and wellbeing matters and are involved in the promotion of child safety and wellbeing. Engaging families in child safety policy is an essential aspect of creating a safe and secure environment for children. Families play a critical role in ensuring the safety of children, and involving them in child safety policy can help create more effective policies that reflect the needs of families and their children.</w:t>
      </w:r>
    </w:p>
    <w:p w14:paraId="300A12DD" w14:textId="77777777" w:rsidR="009B6207" w:rsidRPr="009B6207" w:rsidRDefault="009B6207" w:rsidP="009B6207">
      <w:pPr>
        <w:rPr>
          <w:sz w:val="24"/>
        </w:rPr>
      </w:pPr>
    </w:p>
    <w:p w14:paraId="1B0C4F05" w14:textId="34FC1360" w:rsidR="009B6207" w:rsidRDefault="009B6207" w:rsidP="009B6207">
      <w:pPr>
        <w:numPr>
          <w:ilvl w:val="0"/>
          <w:numId w:val="9"/>
        </w:numPr>
        <w:rPr>
          <w:sz w:val="24"/>
        </w:rPr>
      </w:pPr>
      <w:r w:rsidRPr="009B6207">
        <w:rPr>
          <w:sz w:val="24"/>
        </w:rPr>
        <w:t>Enrolment process</w:t>
      </w:r>
      <w:r w:rsidR="00370F53">
        <w:rPr>
          <w:sz w:val="24"/>
        </w:rPr>
        <w:t xml:space="preserve">: </w:t>
      </w:r>
      <w:r w:rsidRPr="009B6207">
        <w:rPr>
          <w:sz w:val="24"/>
        </w:rPr>
        <w:t>Pre</w:t>
      </w:r>
      <w:r w:rsidR="00607628">
        <w:rPr>
          <w:sz w:val="24"/>
        </w:rPr>
        <w:t>-</w:t>
      </w:r>
      <w:r w:rsidRPr="009B6207">
        <w:rPr>
          <w:sz w:val="24"/>
        </w:rPr>
        <w:t>enrolment interview with parents/guardians/carers and child with youth work team and Further Education Coordinator. This interview is essential to</w:t>
      </w:r>
      <w:r>
        <w:rPr>
          <w:sz w:val="24"/>
        </w:rPr>
        <w:t>:</w:t>
      </w:r>
      <w:r w:rsidRPr="009B6207">
        <w:rPr>
          <w:sz w:val="24"/>
        </w:rPr>
        <w:t xml:space="preserve"> </w:t>
      </w:r>
    </w:p>
    <w:p w14:paraId="6014F655" w14:textId="59BB3FBE" w:rsidR="009B6207" w:rsidRPr="009B6207" w:rsidRDefault="00607628" w:rsidP="006525BB">
      <w:pPr>
        <w:numPr>
          <w:ilvl w:val="0"/>
          <w:numId w:val="10"/>
        </w:numPr>
        <w:ind w:left="1560"/>
        <w:rPr>
          <w:sz w:val="24"/>
        </w:rPr>
      </w:pPr>
      <w:r>
        <w:rPr>
          <w:sz w:val="24"/>
        </w:rPr>
        <w:t>A</w:t>
      </w:r>
      <w:r w:rsidR="009B6207" w:rsidRPr="009B6207">
        <w:rPr>
          <w:sz w:val="24"/>
        </w:rPr>
        <w:t>scertain child specific needs/issues</w:t>
      </w:r>
      <w:r>
        <w:rPr>
          <w:sz w:val="24"/>
        </w:rPr>
        <w:t>.</w:t>
      </w:r>
    </w:p>
    <w:p w14:paraId="1F3B123E" w14:textId="7F894A17" w:rsidR="009B6207" w:rsidRPr="009B6207" w:rsidRDefault="00607628" w:rsidP="006525BB">
      <w:pPr>
        <w:numPr>
          <w:ilvl w:val="0"/>
          <w:numId w:val="10"/>
        </w:numPr>
        <w:ind w:left="1560"/>
        <w:rPr>
          <w:sz w:val="24"/>
        </w:rPr>
      </w:pPr>
      <w:r>
        <w:rPr>
          <w:sz w:val="24"/>
        </w:rPr>
        <w:t>A</w:t>
      </w:r>
      <w:r w:rsidR="009B6207" w:rsidRPr="009B6207">
        <w:rPr>
          <w:sz w:val="24"/>
        </w:rPr>
        <w:t>ddress parental concerns</w:t>
      </w:r>
      <w:r>
        <w:rPr>
          <w:sz w:val="24"/>
        </w:rPr>
        <w:t>.</w:t>
      </w:r>
      <w:r w:rsidR="009B6207" w:rsidRPr="009B6207">
        <w:rPr>
          <w:sz w:val="24"/>
        </w:rPr>
        <w:t xml:space="preserve"> </w:t>
      </w:r>
    </w:p>
    <w:p w14:paraId="294713B7" w14:textId="4801AF57" w:rsidR="009B6207" w:rsidRDefault="00607628" w:rsidP="006525BB">
      <w:pPr>
        <w:numPr>
          <w:ilvl w:val="0"/>
          <w:numId w:val="10"/>
        </w:numPr>
        <w:ind w:left="1560"/>
        <w:rPr>
          <w:sz w:val="24"/>
        </w:rPr>
      </w:pPr>
      <w:r>
        <w:rPr>
          <w:sz w:val="24"/>
        </w:rPr>
        <w:t>S</w:t>
      </w:r>
      <w:r w:rsidR="009B6207" w:rsidRPr="009B6207">
        <w:rPr>
          <w:sz w:val="24"/>
        </w:rPr>
        <w:t>eek parents/guardians/carers input into management of any issues</w:t>
      </w:r>
      <w:r>
        <w:rPr>
          <w:sz w:val="24"/>
        </w:rPr>
        <w:t>.</w:t>
      </w:r>
      <w:r w:rsidR="009B6207" w:rsidRPr="009B6207">
        <w:rPr>
          <w:sz w:val="24"/>
        </w:rPr>
        <w:t xml:space="preserve"> </w:t>
      </w:r>
    </w:p>
    <w:p w14:paraId="7E6CDD11" w14:textId="77777777" w:rsidR="009B6207" w:rsidRDefault="009B6207" w:rsidP="009B6207">
      <w:pPr>
        <w:rPr>
          <w:sz w:val="24"/>
        </w:rPr>
      </w:pPr>
    </w:p>
    <w:p w14:paraId="689F3315" w14:textId="25D92CC6" w:rsidR="009B6207" w:rsidRPr="009B6207" w:rsidRDefault="009B6207" w:rsidP="00EA0F5B">
      <w:pPr>
        <w:numPr>
          <w:ilvl w:val="0"/>
          <w:numId w:val="9"/>
        </w:numPr>
        <w:rPr>
          <w:sz w:val="24"/>
        </w:rPr>
      </w:pPr>
      <w:r w:rsidRPr="009B6207">
        <w:rPr>
          <w:sz w:val="24"/>
        </w:rPr>
        <w:t xml:space="preserve">Meetings (minimum of </w:t>
      </w:r>
      <w:r w:rsidR="00607628">
        <w:rPr>
          <w:sz w:val="24"/>
        </w:rPr>
        <w:t>two (</w:t>
      </w:r>
      <w:r w:rsidRPr="009B6207">
        <w:rPr>
          <w:sz w:val="24"/>
        </w:rPr>
        <w:t>2</w:t>
      </w:r>
      <w:r w:rsidR="00607628">
        <w:rPr>
          <w:sz w:val="24"/>
        </w:rPr>
        <w:t>)</w:t>
      </w:r>
      <w:r w:rsidRPr="009B6207">
        <w:rPr>
          <w:sz w:val="24"/>
        </w:rPr>
        <w:t xml:space="preserve"> per year) with parents and carers in relation to any concerns and/or decisions that affect their child and giving them the opportunity to contribute to any discussions, where appropriate. Parent meetings provide two</w:t>
      </w:r>
      <w:r w:rsidR="00607628">
        <w:rPr>
          <w:sz w:val="24"/>
        </w:rPr>
        <w:t>-</w:t>
      </w:r>
      <w:r w:rsidRPr="009B6207">
        <w:rPr>
          <w:sz w:val="24"/>
        </w:rPr>
        <w:t xml:space="preserve">way feedback on student progress, concerns, suggestions etc. The interviews enable ANH@E staff to raise </w:t>
      </w:r>
      <w:proofErr w:type="gramStart"/>
      <w:r w:rsidRPr="009B6207">
        <w:rPr>
          <w:sz w:val="24"/>
        </w:rPr>
        <w:t>concerns,  to</w:t>
      </w:r>
      <w:proofErr w:type="gramEnd"/>
      <w:r w:rsidRPr="009B6207">
        <w:rPr>
          <w:sz w:val="24"/>
        </w:rPr>
        <w:t xml:space="preserve"> discuss educational pathways, to seek assistance/ support from parents if there is a </w:t>
      </w:r>
      <w:proofErr w:type="gramStart"/>
      <w:r w:rsidRPr="009B6207">
        <w:rPr>
          <w:sz w:val="24"/>
        </w:rPr>
        <w:t>particular behavioural issues</w:t>
      </w:r>
      <w:proofErr w:type="gramEnd"/>
      <w:r w:rsidRPr="009B6207">
        <w:rPr>
          <w:sz w:val="24"/>
        </w:rPr>
        <w:t xml:space="preserve"> that needs to be addressed. The meetings are also an opportunity for parents to raise concerns and suggestions to ensure that the best educational outcomes are achieved for their child. </w:t>
      </w:r>
    </w:p>
    <w:p w14:paraId="3E77984D" w14:textId="77777777" w:rsidR="009B6207" w:rsidRPr="009B6207" w:rsidRDefault="009B6207" w:rsidP="009B6207">
      <w:pPr>
        <w:rPr>
          <w:sz w:val="24"/>
        </w:rPr>
      </w:pPr>
    </w:p>
    <w:p w14:paraId="0D1A9C7D" w14:textId="19FAD6D8" w:rsidR="009B6207" w:rsidRPr="009B6207" w:rsidRDefault="009B6207" w:rsidP="00EA0F5B">
      <w:pPr>
        <w:numPr>
          <w:ilvl w:val="0"/>
          <w:numId w:val="9"/>
        </w:numPr>
        <w:rPr>
          <w:sz w:val="24"/>
        </w:rPr>
      </w:pPr>
      <w:r w:rsidRPr="009B6207">
        <w:rPr>
          <w:sz w:val="24"/>
        </w:rPr>
        <w:lastRenderedPageBreak/>
        <w:t xml:space="preserve">Regular opportunities for </w:t>
      </w:r>
      <w:r w:rsidR="00607628">
        <w:rPr>
          <w:sz w:val="24"/>
        </w:rPr>
        <w:t>i</w:t>
      </w:r>
      <w:r w:rsidRPr="009B6207">
        <w:rPr>
          <w:sz w:val="24"/>
        </w:rPr>
        <w:t xml:space="preserve">nput/creating and maintaining open lines of communication: </w:t>
      </w:r>
      <w:r w:rsidR="00607628">
        <w:rPr>
          <w:sz w:val="24"/>
        </w:rPr>
        <w:t>The Y</w:t>
      </w:r>
      <w:r w:rsidRPr="009B6207">
        <w:rPr>
          <w:sz w:val="24"/>
        </w:rPr>
        <w:t>outh team are in regular communication with families/carers to discuss not only specific issues but overall wellbeing of a student. If a student is regularly late, absent</w:t>
      </w:r>
      <w:r w:rsidR="00607628">
        <w:rPr>
          <w:sz w:val="24"/>
        </w:rPr>
        <w:t>,</w:t>
      </w:r>
      <w:r w:rsidRPr="009B6207">
        <w:rPr>
          <w:sz w:val="24"/>
        </w:rPr>
        <w:t xml:space="preserve"> or displaying negative behaviours, the youth team will </w:t>
      </w:r>
      <w:proofErr w:type="gramStart"/>
      <w:r w:rsidRPr="009B6207">
        <w:rPr>
          <w:sz w:val="24"/>
        </w:rPr>
        <w:t>make contact with</w:t>
      </w:r>
      <w:proofErr w:type="gramEnd"/>
      <w:r w:rsidRPr="009B6207">
        <w:rPr>
          <w:sz w:val="24"/>
        </w:rPr>
        <w:t xml:space="preserve"> family to discuss and to develop joint strategies to ensure </w:t>
      </w:r>
      <w:proofErr w:type="spellStart"/>
      <w:r w:rsidRPr="009B6207">
        <w:rPr>
          <w:sz w:val="24"/>
        </w:rPr>
        <w:t>maintance</w:t>
      </w:r>
      <w:proofErr w:type="spellEnd"/>
      <w:r w:rsidRPr="009B6207">
        <w:rPr>
          <w:sz w:val="24"/>
        </w:rPr>
        <w:t xml:space="preserve"> of engagement. Core focus of all discussions is on </w:t>
      </w:r>
      <w:r w:rsidR="00607628">
        <w:rPr>
          <w:sz w:val="24"/>
        </w:rPr>
        <w:t>c</w:t>
      </w:r>
      <w:r w:rsidRPr="009B6207">
        <w:rPr>
          <w:sz w:val="24"/>
        </w:rPr>
        <w:t xml:space="preserve">hild </w:t>
      </w:r>
      <w:r w:rsidR="00607628">
        <w:rPr>
          <w:sz w:val="24"/>
        </w:rPr>
        <w:t>s</w:t>
      </w:r>
      <w:r w:rsidRPr="009B6207">
        <w:rPr>
          <w:sz w:val="24"/>
        </w:rPr>
        <w:t xml:space="preserve">afety and </w:t>
      </w:r>
      <w:r w:rsidR="00607628">
        <w:rPr>
          <w:sz w:val="24"/>
        </w:rPr>
        <w:t>w</w:t>
      </w:r>
      <w:r w:rsidRPr="009B6207">
        <w:rPr>
          <w:sz w:val="24"/>
        </w:rPr>
        <w:t>ellbeing which helps to ensure that families are aware of child safety policies and can provide input that can improve the policies.</w:t>
      </w:r>
    </w:p>
    <w:p w14:paraId="50F22B12" w14:textId="77777777" w:rsidR="009B6207" w:rsidRPr="009B6207" w:rsidRDefault="009B6207" w:rsidP="009B6207">
      <w:pPr>
        <w:rPr>
          <w:sz w:val="24"/>
        </w:rPr>
      </w:pPr>
    </w:p>
    <w:p w14:paraId="756B2C33" w14:textId="3EF5F525" w:rsidR="009B6207" w:rsidRPr="009B6207" w:rsidRDefault="009B6207" w:rsidP="00EA0F5B">
      <w:pPr>
        <w:numPr>
          <w:ilvl w:val="0"/>
          <w:numId w:val="9"/>
        </w:numPr>
        <w:rPr>
          <w:sz w:val="24"/>
        </w:rPr>
      </w:pPr>
      <w:r w:rsidRPr="009B6207">
        <w:rPr>
          <w:sz w:val="24"/>
        </w:rPr>
        <w:t>Provide Information: Within the Student Enrolment pack and during the enrolment process parents/guardians/carers are provided with information about child safety policies and the importance of their involvement in the process. This can help families understand the impact of child safety policies and why their involvement is critical.</w:t>
      </w:r>
    </w:p>
    <w:p w14:paraId="2B8B987D" w14:textId="77777777" w:rsidR="009B6207" w:rsidRPr="009B6207" w:rsidRDefault="009B6207" w:rsidP="009B6207">
      <w:pPr>
        <w:rPr>
          <w:sz w:val="24"/>
        </w:rPr>
      </w:pPr>
    </w:p>
    <w:p w14:paraId="2565C5E8" w14:textId="7CCA58F1" w:rsidR="009B6207" w:rsidRPr="009B6207" w:rsidRDefault="009B6207" w:rsidP="00EA0F5B">
      <w:pPr>
        <w:numPr>
          <w:ilvl w:val="0"/>
          <w:numId w:val="9"/>
        </w:numPr>
        <w:rPr>
          <w:sz w:val="24"/>
        </w:rPr>
      </w:pPr>
      <w:r w:rsidRPr="009B6207">
        <w:rPr>
          <w:sz w:val="24"/>
        </w:rPr>
        <w:t>Collaborate with Mainstream Schools: ANH@E partners with every students</w:t>
      </w:r>
      <w:r w:rsidR="00607628">
        <w:rPr>
          <w:sz w:val="24"/>
        </w:rPr>
        <w:t>’</w:t>
      </w:r>
      <w:r w:rsidRPr="009B6207">
        <w:rPr>
          <w:sz w:val="24"/>
        </w:rPr>
        <w:t xml:space="preserve"> ‘home’ school in the development and implementation of child safety policies. The ’home’ school can help reach families who may not be aware of child safety policies or who may not have the resources to provide input.</w:t>
      </w:r>
    </w:p>
    <w:p w14:paraId="4C662E98" w14:textId="77777777" w:rsidR="009B6207" w:rsidRPr="009B6207" w:rsidRDefault="009B6207" w:rsidP="009B6207">
      <w:pPr>
        <w:rPr>
          <w:sz w:val="24"/>
        </w:rPr>
      </w:pPr>
    </w:p>
    <w:p w14:paraId="07166AD8" w14:textId="40F839FD" w:rsidR="009B6207" w:rsidRPr="009B6207" w:rsidRDefault="009B6207" w:rsidP="00EA0F5B">
      <w:pPr>
        <w:numPr>
          <w:ilvl w:val="0"/>
          <w:numId w:val="9"/>
        </w:numPr>
        <w:rPr>
          <w:sz w:val="24"/>
        </w:rPr>
      </w:pPr>
      <w:r w:rsidRPr="009B6207">
        <w:rPr>
          <w:sz w:val="24"/>
        </w:rPr>
        <w:t xml:space="preserve">Provide support and guidance to parents/guardians/carers: A component of the </w:t>
      </w:r>
      <w:r w:rsidR="00607628">
        <w:rPr>
          <w:sz w:val="24"/>
        </w:rPr>
        <w:t>Y</w:t>
      </w:r>
      <w:r w:rsidRPr="009B6207">
        <w:rPr>
          <w:sz w:val="24"/>
        </w:rPr>
        <w:t xml:space="preserve">outh </w:t>
      </w:r>
      <w:r w:rsidR="00607628">
        <w:rPr>
          <w:sz w:val="24"/>
        </w:rPr>
        <w:t>t</w:t>
      </w:r>
      <w:r w:rsidRPr="009B6207">
        <w:rPr>
          <w:sz w:val="24"/>
        </w:rPr>
        <w:t>eam mandate is to provide families with training on child safety policies and best practices to help them understand how to implement policies in their homes. This can help ensure that families understand the importance of child safety and are equipped with the knowledge and skills to promote safety in their homes and communities.</w:t>
      </w:r>
    </w:p>
    <w:p w14:paraId="020D89FC" w14:textId="77777777" w:rsidR="009B6207" w:rsidRPr="009B6207" w:rsidRDefault="009B6207" w:rsidP="009B6207">
      <w:pPr>
        <w:rPr>
          <w:sz w:val="24"/>
        </w:rPr>
      </w:pPr>
    </w:p>
    <w:p w14:paraId="5C732DC9" w14:textId="5EC222F0" w:rsidR="009B6207" w:rsidRPr="009B6207" w:rsidRDefault="009B6207" w:rsidP="00EA0F5B">
      <w:pPr>
        <w:numPr>
          <w:ilvl w:val="0"/>
          <w:numId w:val="9"/>
        </w:numPr>
        <w:rPr>
          <w:sz w:val="24"/>
        </w:rPr>
      </w:pPr>
      <w:r w:rsidRPr="009B6207">
        <w:rPr>
          <w:sz w:val="24"/>
        </w:rPr>
        <w:t>Ensuring that existing policies and practices relating to child safety and wellbeing are made publicly available so that they are easily accessible to families, carers, and other members of the community</w:t>
      </w:r>
    </w:p>
    <w:p w14:paraId="49B05C6D" w14:textId="77777777" w:rsidR="009B6207" w:rsidRPr="009B6207" w:rsidRDefault="009B6207" w:rsidP="009B6207">
      <w:pPr>
        <w:rPr>
          <w:sz w:val="24"/>
        </w:rPr>
      </w:pPr>
    </w:p>
    <w:p w14:paraId="3B6D5030" w14:textId="668FC126" w:rsidR="001174BD" w:rsidRDefault="009B6207" w:rsidP="00EA0F5B">
      <w:r w:rsidRPr="009B6207">
        <w:rPr>
          <w:sz w:val="24"/>
        </w:rPr>
        <w:t>Overall, engaging families in child safety policy is critical to creating effective policies that promote the safety and wellbeing of children. By involving families in the process, ANH@E can create policies that reflect the needs of families and help ensure that children are safe and secure.</w:t>
      </w:r>
    </w:p>
    <w:tbl>
      <w:tblPr>
        <w:tblpPr w:leftFromText="180" w:rightFromText="180" w:vertAnchor="text" w:horzAnchor="margin" w:tblpY="7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5335"/>
      </w:tblGrid>
      <w:tr w:rsidR="00035C68" w:rsidRPr="00114114" w14:paraId="257B78C7" w14:textId="77777777">
        <w:tc>
          <w:tcPr>
            <w:tcW w:w="3681" w:type="dxa"/>
            <w:shd w:val="clear" w:color="auto" w:fill="DEEAF6"/>
          </w:tcPr>
          <w:p w14:paraId="6BAA2371" w14:textId="77777777" w:rsidR="00035C68" w:rsidRPr="00114114" w:rsidRDefault="00035C68">
            <w:pPr>
              <w:rPr>
                <w:rFonts w:eastAsia="Calibri"/>
                <w:b/>
                <w:bCs/>
                <w:sz w:val="28"/>
                <w:szCs w:val="28"/>
              </w:rPr>
            </w:pPr>
            <w:r w:rsidRPr="00114114">
              <w:rPr>
                <w:rFonts w:eastAsia="Calibri"/>
                <w:b/>
                <w:bCs/>
                <w:sz w:val="28"/>
                <w:szCs w:val="28"/>
              </w:rPr>
              <w:t>Status</w:t>
            </w:r>
          </w:p>
        </w:tc>
        <w:tc>
          <w:tcPr>
            <w:tcW w:w="5335" w:type="dxa"/>
          </w:tcPr>
          <w:p w14:paraId="791E965D" w14:textId="2FA2EE5D" w:rsidR="00035C68" w:rsidRPr="00114114" w:rsidRDefault="006525BB">
            <w:pPr>
              <w:rPr>
                <w:rFonts w:eastAsia="Calibri"/>
                <w:sz w:val="28"/>
                <w:szCs w:val="28"/>
              </w:rPr>
            </w:pPr>
            <w:r>
              <w:rPr>
                <w:rFonts w:eastAsia="Calibri"/>
                <w:sz w:val="28"/>
                <w:szCs w:val="28"/>
              </w:rPr>
              <w:t>Current</w:t>
            </w:r>
          </w:p>
        </w:tc>
      </w:tr>
      <w:tr w:rsidR="00035C68" w:rsidRPr="00114114" w14:paraId="4C3E90A1" w14:textId="77777777">
        <w:tc>
          <w:tcPr>
            <w:tcW w:w="3681" w:type="dxa"/>
            <w:shd w:val="clear" w:color="auto" w:fill="DEEAF6"/>
          </w:tcPr>
          <w:p w14:paraId="0CD5420A" w14:textId="77777777" w:rsidR="00035C68" w:rsidRPr="00114114" w:rsidRDefault="00035C68">
            <w:pPr>
              <w:rPr>
                <w:rFonts w:eastAsia="Calibri"/>
                <w:b/>
                <w:bCs/>
                <w:sz w:val="28"/>
                <w:szCs w:val="28"/>
              </w:rPr>
            </w:pPr>
            <w:r w:rsidRPr="00114114">
              <w:rPr>
                <w:rFonts w:eastAsia="Calibri"/>
                <w:b/>
                <w:bCs/>
                <w:sz w:val="28"/>
                <w:szCs w:val="28"/>
              </w:rPr>
              <w:t>Effective Date</w:t>
            </w:r>
          </w:p>
        </w:tc>
        <w:tc>
          <w:tcPr>
            <w:tcW w:w="5335" w:type="dxa"/>
          </w:tcPr>
          <w:p w14:paraId="6C5321A4" w14:textId="101FBAD8" w:rsidR="00035C68" w:rsidRPr="00114114" w:rsidRDefault="006525BB">
            <w:pPr>
              <w:rPr>
                <w:rFonts w:eastAsia="Calibri"/>
                <w:sz w:val="28"/>
                <w:szCs w:val="28"/>
              </w:rPr>
            </w:pPr>
            <w:r>
              <w:rPr>
                <w:rFonts w:eastAsia="Calibri"/>
                <w:sz w:val="28"/>
                <w:szCs w:val="28"/>
              </w:rPr>
              <w:t>16 November 2023</w:t>
            </w:r>
          </w:p>
        </w:tc>
      </w:tr>
      <w:tr w:rsidR="00035C68" w:rsidRPr="00114114" w14:paraId="510818FE" w14:textId="77777777">
        <w:tc>
          <w:tcPr>
            <w:tcW w:w="3681" w:type="dxa"/>
            <w:shd w:val="clear" w:color="auto" w:fill="DEEAF6"/>
          </w:tcPr>
          <w:p w14:paraId="173F5AAA" w14:textId="77777777" w:rsidR="00035C68" w:rsidRPr="00114114" w:rsidRDefault="00035C68">
            <w:pPr>
              <w:rPr>
                <w:rFonts w:eastAsia="Calibri"/>
                <w:b/>
                <w:bCs/>
                <w:sz w:val="28"/>
                <w:szCs w:val="28"/>
              </w:rPr>
            </w:pPr>
            <w:r w:rsidRPr="00114114">
              <w:rPr>
                <w:rFonts w:eastAsia="Calibri"/>
                <w:b/>
                <w:bCs/>
                <w:sz w:val="28"/>
                <w:szCs w:val="28"/>
              </w:rPr>
              <w:t>Review Date</w:t>
            </w:r>
          </w:p>
        </w:tc>
        <w:tc>
          <w:tcPr>
            <w:tcW w:w="5335" w:type="dxa"/>
          </w:tcPr>
          <w:p w14:paraId="7485EDFE" w14:textId="621A8D13" w:rsidR="00035C68" w:rsidRPr="00114114" w:rsidRDefault="006525BB">
            <w:pPr>
              <w:rPr>
                <w:rFonts w:eastAsia="Calibri"/>
                <w:sz w:val="28"/>
                <w:szCs w:val="28"/>
              </w:rPr>
            </w:pPr>
            <w:r>
              <w:rPr>
                <w:rFonts w:eastAsia="Calibri"/>
                <w:sz w:val="28"/>
                <w:szCs w:val="28"/>
              </w:rPr>
              <w:t>By</w:t>
            </w:r>
            <w:r w:rsidR="00607628">
              <w:rPr>
                <w:rFonts w:eastAsia="Calibri"/>
                <w:sz w:val="28"/>
                <w:szCs w:val="28"/>
              </w:rPr>
              <w:t xml:space="preserve"> November</w:t>
            </w:r>
            <w:r w:rsidR="00A668F2">
              <w:rPr>
                <w:rFonts w:eastAsia="Calibri"/>
                <w:sz w:val="28"/>
                <w:szCs w:val="28"/>
              </w:rPr>
              <w:t xml:space="preserve"> 202</w:t>
            </w:r>
            <w:r>
              <w:rPr>
                <w:rFonts w:eastAsia="Calibri"/>
                <w:sz w:val="28"/>
                <w:szCs w:val="28"/>
              </w:rPr>
              <w:t>5</w:t>
            </w:r>
          </w:p>
        </w:tc>
      </w:tr>
      <w:tr w:rsidR="00035C68" w:rsidRPr="00114114" w14:paraId="4BFCD844" w14:textId="77777777">
        <w:tc>
          <w:tcPr>
            <w:tcW w:w="3681" w:type="dxa"/>
            <w:shd w:val="clear" w:color="auto" w:fill="DEEAF6"/>
          </w:tcPr>
          <w:p w14:paraId="3EB39B85" w14:textId="77777777" w:rsidR="00035C68" w:rsidRPr="00114114" w:rsidRDefault="00035C68">
            <w:pPr>
              <w:rPr>
                <w:rFonts w:eastAsia="Calibri"/>
                <w:b/>
                <w:bCs/>
                <w:sz w:val="28"/>
                <w:szCs w:val="28"/>
              </w:rPr>
            </w:pPr>
            <w:r w:rsidRPr="00114114">
              <w:rPr>
                <w:rFonts w:eastAsia="Calibri"/>
                <w:b/>
                <w:bCs/>
                <w:sz w:val="28"/>
                <w:szCs w:val="28"/>
              </w:rPr>
              <w:t>Approval Authority</w:t>
            </w:r>
          </w:p>
        </w:tc>
        <w:tc>
          <w:tcPr>
            <w:tcW w:w="5335" w:type="dxa"/>
          </w:tcPr>
          <w:p w14:paraId="0B620F97" w14:textId="20573C44" w:rsidR="00035C68" w:rsidRPr="00114114" w:rsidRDefault="009A6525">
            <w:pPr>
              <w:rPr>
                <w:rFonts w:eastAsia="Calibri"/>
                <w:sz w:val="28"/>
                <w:szCs w:val="28"/>
              </w:rPr>
            </w:pPr>
            <w:r>
              <w:rPr>
                <w:rFonts w:eastAsia="Calibri"/>
                <w:sz w:val="28"/>
                <w:szCs w:val="28"/>
                <w:highlight w:val="yellow"/>
              </w:rPr>
              <w:t xml:space="preserve">Board </w:t>
            </w:r>
            <w:r>
              <w:rPr>
                <w:rFonts w:eastAsia="Calibri"/>
                <w:sz w:val="28"/>
                <w:szCs w:val="28"/>
              </w:rPr>
              <w:t xml:space="preserve"> </w:t>
            </w:r>
          </w:p>
        </w:tc>
      </w:tr>
      <w:tr w:rsidR="00035C68" w:rsidRPr="00114114" w14:paraId="7E455615" w14:textId="77777777">
        <w:tc>
          <w:tcPr>
            <w:tcW w:w="3681" w:type="dxa"/>
            <w:shd w:val="clear" w:color="auto" w:fill="DEEAF6"/>
          </w:tcPr>
          <w:p w14:paraId="3E017C53" w14:textId="77777777" w:rsidR="00035C68" w:rsidRPr="00114114" w:rsidRDefault="00035C68">
            <w:pPr>
              <w:rPr>
                <w:rFonts w:eastAsia="Calibri"/>
                <w:b/>
                <w:bCs/>
                <w:sz w:val="28"/>
                <w:szCs w:val="28"/>
              </w:rPr>
            </w:pPr>
            <w:r w:rsidRPr="00114114">
              <w:rPr>
                <w:rFonts w:eastAsia="Calibri"/>
                <w:b/>
                <w:bCs/>
                <w:sz w:val="28"/>
                <w:szCs w:val="28"/>
              </w:rPr>
              <w:t>Enquiries</w:t>
            </w:r>
          </w:p>
        </w:tc>
        <w:tc>
          <w:tcPr>
            <w:tcW w:w="5335" w:type="dxa"/>
          </w:tcPr>
          <w:p w14:paraId="5A0B4AE7" w14:textId="77777777" w:rsidR="00035C68" w:rsidRPr="00114114" w:rsidRDefault="00035C68">
            <w:pPr>
              <w:rPr>
                <w:rFonts w:eastAsia="Calibri"/>
                <w:sz w:val="28"/>
                <w:szCs w:val="28"/>
              </w:rPr>
            </w:pPr>
            <w:r w:rsidRPr="00114114">
              <w:rPr>
                <w:rFonts w:eastAsia="Calibri"/>
                <w:sz w:val="28"/>
                <w:szCs w:val="28"/>
              </w:rPr>
              <w:t>9808 2000</w:t>
            </w:r>
          </w:p>
        </w:tc>
      </w:tr>
    </w:tbl>
    <w:p w14:paraId="45045F7C" w14:textId="77777777" w:rsidR="00F51D7C" w:rsidRPr="0083182F" w:rsidRDefault="00F51D7C" w:rsidP="00627B9D"/>
    <w:sectPr w:rsidR="00F51D7C" w:rsidRPr="0083182F" w:rsidSect="00500647">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14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1918A" w14:textId="77777777" w:rsidR="00DF356E" w:rsidRDefault="00DF356E">
      <w:r>
        <w:separator/>
      </w:r>
    </w:p>
  </w:endnote>
  <w:endnote w:type="continuationSeparator" w:id="0">
    <w:p w14:paraId="4A1DC1AD" w14:textId="77777777" w:rsidR="00DF356E" w:rsidRDefault="00DF3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44E0F" w14:textId="77777777" w:rsidR="001043F5" w:rsidRDefault="001043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043FA" w14:textId="07C37429" w:rsidR="00FB23E1" w:rsidRPr="00A15DB9" w:rsidRDefault="00FB23E1" w:rsidP="00FB23E1">
    <w:pPr>
      <w:pStyle w:val="Footer"/>
      <w:rPr>
        <w:sz w:val="18"/>
        <w:szCs w:val="18"/>
      </w:rPr>
    </w:pPr>
    <w:r>
      <w:rPr>
        <w:sz w:val="18"/>
        <w:szCs w:val="18"/>
      </w:rPr>
      <w:fldChar w:fldCharType="begin"/>
    </w:r>
    <w:r>
      <w:rPr>
        <w:sz w:val="18"/>
        <w:szCs w:val="18"/>
      </w:rPr>
      <w:instrText xml:space="preserve"> FILENAME  \p  \* MERGEFORMAT </w:instrText>
    </w:r>
    <w:r>
      <w:rPr>
        <w:sz w:val="18"/>
        <w:szCs w:val="18"/>
      </w:rPr>
      <w:fldChar w:fldCharType="separate"/>
    </w:r>
    <w:r w:rsidR="004B3659">
      <w:rPr>
        <w:noProof/>
        <w:sz w:val="18"/>
        <w:szCs w:val="18"/>
      </w:rPr>
      <w:t>https://theavenuenh-my.sharepoint.com/personal/tanhadmin_theavenue_org_au/Documents/REMOTE TANH FILES/Policy/Engaging Families in Child Safety v1.docx</w:t>
    </w:r>
    <w:r>
      <w:rPr>
        <w:sz w:val="18"/>
        <w:szCs w:val="18"/>
      </w:rPr>
      <w:fldChar w:fldCharType="end"/>
    </w:r>
    <w:r>
      <w:rPr>
        <w:sz w:val="18"/>
        <w:szCs w:val="18"/>
      </w:rPr>
      <w:tab/>
    </w:r>
    <w:r>
      <w:rPr>
        <w:sz w:val="18"/>
        <w:szCs w:val="18"/>
      </w:rPr>
      <w:tab/>
    </w:r>
    <w:r w:rsidRPr="00A15DB9">
      <w:rPr>
        <w:sz w:val="18"/>
        <w:szCs w:val="18"/>
      </w:rPr>
      <w:t xml:space="preserve">Page </w:t>
    </w:r>
    <w:r w:rsidRPr="00A15DB9">
      <w:rPr>
        <w:b/>
        <w:sz w:val="18"/>
        <w:szCs w:val="18"/>
      </w:rPr>
      <w:fldChar w:fldCharType="begin"/>
    </w:r>
    <w:r w:rsidRPr="00A15DB9">
      <w:rPr>
        <w:b/>
        <w:sz w:val="18"/>
        <w:szCs w:val="18"/>
      </w:rPr>
      <w:instrText xml:space="preserve"> PAGE  \* Arabic  \* MERGEFORMAT </w:instrText>
    </w:r>
    <w:r w:rsidRPr="00A15DB9">
      <w:rPr>
        <w:b/>
        <w:sz w:val="18"/>
        <w:szCs w:val="18"/>
      </w:rPr>
      <w:fldChar w:fldCharType="separate"/>
    </w:r>
    <w:r w:rsidR="0083182F">
      <w:rPr>
        <w:b/>
        <w:noProof/>
        <w:sz w:val="18"/>
        <w:szCs w:val="18"/>
      </w:rPr>
      <w:t>1</w:t>
    </w:r>
    <w:r w:rsidRPr="00A15DB9">
      <w:rPr>
        <w:b/>
        <w:sz w:val="18"/>
        <w:szCs w:val="18"/>
      </w:rPr>
      <w:fldChar w:fldCharType="end"/>
    </w:r>
    <w:r w:rsidRPr="00A15DB9">
      <w:rPr>
        <w:sz w:val="18"/>
        <w:szCs w:val="18"/>
      </w:rPr>
      <w:t xml:space="preserve"> of </w:t>
    </w:r>
    <w:r w:rsidRPr="00A15DB9">
      <w:rPr>
        <w:b/>
        <w:sz w:val="18"/>
        <w:szCs w:val="18"/>
      </w:rPr>
      <w:fldChar w:fldCharType="begin"/>
    </w:r>
    <w:r w:rsidRPr="00A15DB9">
      <w:rPr>
        <w:b/>
        <w:sz w:val="18"/>
        <w:szCs w:val="18"/>
      </w:rPr>
      <w:instrText xml:space="preserve"> NUMPAGES  \* Arabic  \* MERGEFORMAT </w:instrText>
    </w:r>
    <w:r w:rsidRPr="00A15DB9">
      <w:rPr>
        <w:b/>
        <w:sz w:val="18"/>
        <w:szCs w:val="18"/>
      </w:rPr>
      <w:fldChar w:fldCharType="separate"/>
    </w:r>
    <w:r w:rsidR="0083182F">
      <w:rPr>
        <w:b/>
        <w:noProof/>
        <w:sz w:val="18"/>
        <w:szCs w:val="18"/>
      </w:rPr>
      <w:t>3</w:t>
    </w:r>
    <w:r w:rsidRPr="00A15DB9">
      <w:rPr>
        <w:b/>
        <w:sz w:val="18"/>
        <w:szCs w:val="18"/>
      </w:rPr>
      <w:fldChar w:fldCharType="end"/>
    </w:r>
  </w:p>
  <w:p w14:paraId="589C7588" w14:textId="77777777" w:rsidR="00F51D7C" w:rsidRDefault="00F51D7C" w:rsidP="001E3F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DB199" w14:textId="77777777" w:rsidR="001043F5" w:rsidRDefault="001043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5DE0A" w14:textId="77777777" w:rsidR="00DF356E" w:rsidRDefault="00DF356E">
      <w:r>
        <w:separator/>
      </w:r>
    </w:p>
  </w:footnote>
  <w:footnote w:type="continuationSeparator" w:id="0">
    <w:p w14:paraId="6FEFEEA0" w14:textId="77777777" w:rsidR="00DF356E" w:rsidRDefault="00DF35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5EA00" w14:textId="77777777" w:rsidR="001043F5" w:rsidRDefault="001043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45091" w14:textId="55C67494" w:rsidR="00160F68" w:rsidRDefault="001043F5" w:rsidP="00500647">
    <w:pPr>
      <w:pStyle w:val="Header"/>
      <w:ind w:left="-284"/>
    </w:pPr>
    <w:r>
      <w:rPr>
        <w:noProof/>
      </w:rPr>
      <w:drawing>
        <wp:inline distT="0" distB="0" distL="0" distR="0" wp14:anchorId="39733B1E" wp14:editId="4C63F72B">
          <wp:extent cx="1724025" cy="733204"/>
          <wp:effectExtent l="0" t="0" r="0" b="0"/>
          <wp:docPr id="2118868284" name="Picture 1" descr="A logo for a neighborhood hous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868284" name="Picture 1" descr="A logo for a neighborhood hous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805200" cy="767726"/>
                  </a:xfrm>
                  <a:prstGeom prst="rect">
                    <a:avLst/>
                  </a:prstGeom>
                </pic:spPr>
              </pic:pic>
            </a:graphicData>
          </a:graphic>
        </wp:inline>
      </w:drawing>
    </w:r>
  </w:p>
  <w:p w14:paraId="6FC39A06" w14:textId="77777777" w:rsidR="00F51D7C" w:rsidRDefault="00F51D7C">
    <w:pPr>
      <w:tabs>
        <w:tab w:val="center" w:pos="4153"/>
        <w:tab w:val="right" w:pos="830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B6B42" w14:textId="77777777" w:rsidR="001043F5" w:rsidRDefault="001043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E0D49"/>
    <w:multiLevelType w:val="hybridMultilevel"/>
    <w:tmpl w:val="0DCA60F8"/>
    <w:lvl w:ilvl="0" w:tplc="0C090001">
      <w:start w:val="1"/>
      <w:numFmt w:val="bullet"/>
      <w:lvlText w:val=""/>
      <w:lvlJc w:val="left"/>
      <w:pPr>
        <w:ind w:left="1143" w:hanging="360"/>
      </w:pPr>
      <w:rPr>
        <w:rFonts w:ascii="Symbol" w:hAnsi="Symbol" w:hint="default"/>
      </w:rPr>
    </w:lvl>
    <w:lvl w:ilvl="1" w:tplc="0C090003" w:tentative="1">
      <w:start w:val="1"/>
      <w:numFmt w:val="bullet"/>
      <w:lvlText w:val="o"/>
      <w:lvlJc w:val="left"/>
      <w:pPr>
        <w:ind w:left="1863" w:hanging="360"/>
      </w:pPr>
      <w:rPr>
        <w:rFonts w:ascii="Courier New" w:hAnsi="Courier New" w:cs="Courier New" w:hint="default"/>
      </w:rPr>
    </w:lvl>
    <w:lvl w:ilvl="2" w:tplc="0C090005" w:tentative="1">
      <w:start w:val="1"/>
      <w:numFmt w:val="bullet"/>
      <w:lvlText w:val=""/>
      <w:lvlJc w:val="left"/>
      <w:pPr>
        <w:ind w:left="2583" w:hanging="360"/>
      </w:pPr>
      <w:rPr>
        <w:rFonts w:ascii="Wingdings" w:hAnsi="Wingdings" w:hint="default"/>
      </w:rPr>
    </w:lvl>
    <w:lvl w:ilvl="3" w:tplc="0C090001" w:tentative="1">
      <w:start w:val="1"/>
      <w:numFmt w:val="bullet"/>
      <w:lvlText w:val=""/>
      <w:lvlJc w:val="left"/>
      <w:pPr>
        <w:ind w:left="3303" w:hanging="360"/>
      </w:pPr>
      <w:rPr>
        <w:rFonts w:ascii="Symbol" w:hAnsi="Symbol" w:hint="default"/>
      </w:rPr>
    </w:lvl>
    <w:lvl w:ilvl="4" w:tplc="0C090003" w:tentative="1">
      <w:start w:val="1"/>
      <w:numFmt w:val="bullet"/>
      <w:lvlText w:val="o"/>
      <w:lvlJc w:val="left"/>
      <w:pPr>
        <w:ind w:left="4023" w:hanging="360"/>
      </w:pPr>
      <w:rPr>
        <w:rFonts w:ascii="Courier New" w:hAnsi="Courier New" w:cs="Courier New" w:hint="default"/>
      </w:rPr>
    </w:lvl>
    <w:lvl w:ilvl="5" w:tplc="0C090005" w:tentative="1">
      <w:start w:val="1"/>
      <w:numFmt w:val="bullet"/>
      <w:lvlText w:val=""/>
      <w:lvlJc w:val="left"/>
      <w:pPr>
        <w:ind w:left="4743" w:hanging="360"/>
      </w:pPr>
      <w:rPr>
        <w:rFonts w:ascii="Wingdings" w:hAnsi="Wingdings" w:hint="default"/>
      </w:rPr>
    </w:lvl>
    <w:lvl w:ilvl="6" w:tplc="0C090001" w:tentative="1">
      <w:start w:val="1"/>
      <w:numFmt w:val="bullet"/>
      <w:lvlText w:val=""/>
      <w:lvlJc w:val="left"/>
      <w:pPr>
        <w:ind w:left="5463" w:hanging="360"/>
      </w:pPr>
      <w:rPr>
        <w:rFonts w:ascii="Symbol" w:hAnsi="Symbol" w:hint="default"/>
      </w:rPr>
    </w:lvl>
    <w:lvl w:ilvl="7" w:tplc="0C090003" w:tentative="1">
      <w:start w:val="1"/>
      <w:numFmt w:val="bullet"/>
      <w:lvlText w:val="o"/>
      <w:lvlJc w:val="left"/>
      <w:pPr>
        <w:ind w:left="6183" w:hanging="360"/>
      </w:pPr>
      <w:rPr>
        <w:rFonts w:ascii="Courier New" w:hAnsi="Courier New" w:cs="Courier New" w:hint="default"/>
      </w:rPr>
    </w:lvl>
    <w:lvl w:ilvl="8" w:tplc="0C090005" w:tentative="1">
      <w:start w:val="1"/>
      <w:numFmt w:val="bullet"/>
      <w:lvlText w:val=""/>
      <w:lvlJc w:val="left"/>
      <w:pPr>
        <w:ind w:left="6903" w:hanging="360"/>
      </w:pPr>
      <w:rPr>
        <w:rFonts w:ascii="Wingdings" w:hAnsi="Wingdings" w:hint="default"/>
      </w:rPr>
    </w:lvl>
  </w:abstractNum>
  <w:abstractNum w:abstractNumId="1" w15:restartNumberingAfterBreak="0">
    <w:nsid w:val="19C30838"/>
    <w:multiLevelType w:val="hybridMultilevel"/>
    <w:tmpl w:val="4C62ACA6"/>
    <w:lvl w:ilvl="0" w:tplc="08090001">
      <w:start w:val="1"/>
      <w:numFmt w:val="bullet"/>
      <w:lvlText w:val=""/>
      <w:lvlJc w:val="left"/>
      <w:pPr>
        <w:ind w:left="108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1">
      <w:start w:val="1"/>
      <w:numFmt w:val="bullet"/>
      <w:lvlText w:val=""/>
      <w:lvlJc w:val="left"/>
      <w:pPr>
        <w:ind w:left="2340" w:hanging="360"/>
      </w:pPr>
      <w:rPr>
        <w:rFonts w:ascii="Symbol" w:hAnsi="Symbol" w:hint="default"/>
      </w:r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 w15:restartNumberingAfterBreak="0">
    <w:nsid w:val="201F000A"/>
    <w:multiLevelType w:val="hybridMultilevel"/>
    <w:tmpl w:val="59128A52"/>
    <w:lvl w:ilvl="0" w:tplc="42B21D6E">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4810474"/>
    <w:multiLevelType w:val="multilevel"/>
    <w:tmpl w:val="2B1664F2"/>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4" w15:restartNumberingAfterBreak="0">
    <w:nsid w:val="423F35C0"/>
    <w:multiLevelType w:val="hybridMultilevel"/>
    <w:tmpl w:val="A8EE2D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29C75E2"/>
    <w:multiLevelType w:val="hybridMultilevel"/>
    <w:tmpl w:val="3F82C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CE75499"/>
    <w:multiLevelType w:val="hybridMultilevel"/>
    <w:tmpl w:val="B184A48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5FE92AC3"/>
    <w:multiLevelType w:val="hybridMultilevel"/>
    <w:tmpl w:val="4A96D6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2691522"/>
    <w:multiLevelType w:val="hybridMultilevel"/>
    <w:tmpl w:val="0B029CF2"/>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num w:numId="1" w16cid:durableId="1179613129">
    <w:abstractNumId w:val="3"/>
  </w:num>
  <w:num w:numId="2" w16cid:durableId="1939171244">
    <w:abstractNumId w:val="1"/>
  </w:num>
  <w:num w:numId="3" w16cid:durableId="375545013">
    <w:abstractNumId w:val="8"/>
  </w:num>
  <w:num w:numId="4" w16cid:durableId="497621305">
    <w:abstractNumId w:val="1"/>
  </w:num>
  <w:num w:numId="5" w16cid:durableId="1916622678">
    <w:abstractNumId w:val="0"/>
  </w:num>
  <w:num w:numId="6" w16cid:durableId="691616328">
    <w:abstractNumId w:val="5"/>
  </w:num>
  <w:num w:numId="7" w16cid:durableId="122699162">
    <w:abstractNumId w:val="7"/>
  </w:num>
  <w:num w:numId="8" w16cid:durableId="2053842622">
    <w:abstractNumId w:val="2"/>
  </w:num>
  <w:num w:numId="9" w16cid:durableId="595750188">
    <w:abstractNumId w:val="6"/>
  </w:num>
  <w:num w:numId="10" w16cid:durableId="16553745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D7C"/>
    <w:rsid w:val="000171B9"/>
    <w:rsid w:val="0003210B"/>
    <w:rsid w:val="00035C68"/>
    <w:rsid w:val="00056070"/>
    <w:rsid w:val="00083A91"/>
    <w:rsid w:val="000B220A"/>
    <w:rsid w:val="000F3330"/>
    <w:rsid w:val="00101B30"/>
    <w:rsid w:val="001043F5"/>
    <w:rsid w:val="001174BD"/>
    <w:rsid w:val="00125D01"/>
    <w:rsid w:val="0014722D"/>
    <w:rsid w:val="001558B2"/>
    <w:rsid w:val="00160F68"/>
    <w:rsid w:val="0019303F"/>
    <w:rsid w:val="001C1BAA"/>
    <w:rsid w:val="001E3F40"/>
    <w:rsid w:val="001F12BC"/>
    <w:rsid w:val="002C287E"/>
    <w:rsid w:val="002E0FA3"/>
    <w:rsid w:val="00304AA5"/>
    <w:rsid w:val="003401E3"/>
    <w:rsid w:val="00350FFF"/>
    <w:rsid w:val="00370F53"/>
    <w:rsid w:val="00392A31"/>
    <w:rsid w:val="003E0FE8"/>
    <w:rsid w:val="00400829"/>
    <w:rsid w:val="00425039"/>
    <w:rsid w:val="004B3659"/>
    <w:rsid w:val="004D2AE5"/>
    <w:rsid w:val="004D3BB7"/>
    <w:rsid w:val="004D6F9E"/>
    <w:rsid w:val="00500647"/>
    <w:rsid w:val="005022C8"/>
    <w:rsid w:val="005720C0"/>
    <w:rsid w:val="00590362"/>
    <w:rsid w:val="00596659"/>
    <w:rsid w:val="005B1A81"/>
    <w:rsid w:val="00607628"/>
    <w:rsid w:val="006275A3"/>
    <w:rsid w:val="00627B9D"/>
    <w:rsid w:val="006525BB"/>
    <w:rsid w:val="00665372"/>
    <w:rsid w:val="00723835"/>
    <w:rsid w:val="00767CD9"/>
    <w:rsid w:val="007B216A"/>
    <w:rsid w:val="007C7408"/>
    <w:rsid w:val="007D5C3E"/>
    <w:rsid w:val="007E4D85"/>
    <w:rsid w:val="007E710D"/>
    <w:rsid w:val="00804BF2"/>
    <w:rsid w:val="00806E74"/>
    <w:rsid w:val="00826C58"/>
    <w:rsid w:val="00827C5E"/>
    <w:rsid w:val="0083182F"/>
    <w:rsid w:val="008514BD"/>
    <w:rsid w:val="008570BB"/>
    <w:rsid w:val="0089380A"/>
    <w:rsid w:val="008A1B52"/>
    <w:rsid w:val="008B4A7C"/>
    <w:rsid w:val="008D213D"/>
    <w:rsid w:val="008F5ACF"/>
    <w:rsid w:val="009026F4"/>
    <w:rsid w:val="0092495B"/>
    <w:rsid w:val="0092587A"/>
    <w:rsid w:val="00927456"/>
    <w:rsid w:val="00981708"/>
    <w:rsid w:val="009A2934"/>
    <w:rsid w:val="009A44F5"/>
    <w:rsid w:val="009A6525"/>
    <w:rsid w:val="009B5EC8"/>
    <w:rsid w:val="009B6207"/>
    <w:rsid w:val="009D3336"/>
    <w:rsid w:val="009E1825"/>
    <w:rsid w:val="009F21B4"/>
    <w:rsid w:val="00A03CE3"/>
    <w:rsid w:val="00A668F2"/>
    <w:rsid w:val="00AB53A7"/>
    <w:rsid w:val="00AE195D"/>
    <w:rsid w:val="00B65172"/>
    <w:rsid w:val="00BA0AF9"/>
    <w:rsid w:val="00C23CE5"/>
    <w:rsid w:val="00C62256"/>
    <w:rsid w:val="00CC1503"/>
    <w:rsid w:val="00CC4567"/>
    <w:rsid w:val="00CF1239"/>
    <w:rsid w:val="00D134BE"/>
    <w:rsid w:val="00D54030"/>
    <w:rsid w:val="00D63E7E"/>
    <w:rsid w:val="00D97F4D"/>
    <w:rsid w:val="00DF2096"/>
    <w:rsid w:val="00DF226C"/>
    <w:rsid w:val="00DF356E"/>
    <w:rsid w:val="00E317FB"/>
    <w:rsid w:val="00E71E66"/>
    <w:rsid w:val="00EA0F5B"/>
    <w:rsid w:val="00EA6883"/>
    <w:rsid w:val="00ED7B6D"/>
    <w:rsid w:val="00EE2EFF"/>
    <w:rsid w:val="00F05B95"/>
    <w:rsid w:val="00F32D58"/>
    <w:rsid w:val="00F462A4"/>
    <w:rsid w:val="00F476B4"/>
    <w:rsid w:val="00F51D7C"/>
    <w:rsid w:val="00F83FBF"/>
    <w:rsid w:val="00FA0470"/>
    <w:rsid w:val="00FA13AA"/>
    <w:rsid w:val="00FB23E1"/>
    <w:rsid w:val="00FD724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247035"/>
  <w15:chartTrackingRefBased/>
  <w15:docId w15:val="{DEB160B1-AE76-409C-A34F-646576332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rFonts w:ascii="Times New Roman" w:hAnsi="Times New Roman"/>
      <w:color w:val="000000"/>
      <w:szCs w:val="22"/>
      <w:lang w:eastAsia="en-AU"/>
    </w:rPr>
  </w:style>
  <w:style w:type="paragraph" w:styleId="Heading1">
    <w:name w:val="heading 1"/>
    <w:basedOn w:val="Normal"/>
    <w:next w:val="Normal"/>
    <w:pPr>
      <w:spacing w:before="280"/>
      <w:outlineLvl w:val="0"/>
    </w:pPr>
    <w:rPr>
      <w:rFonts w:ascii="Arial Black" w:eastAsia="Arial Black" w:hAnsi="Arial Black" w:cs="Arial Black"/>
      <w:sz w:val="28"/>
    </w:rPr>
  </w:style>
  <w:style w:type="paragraph" w:styleId="Heading2">
    <w:name w:val="heading 2"/>
    <w:basedOn w:val="Normal"/>
    <w:next w:val="Normal"/>
    <w:pPr>
      <w:spacing w:before="120"/>
      <w:outlineLvl w:val="1"/>
    </w:pPr>
    <w:rPr>
      <w:rFonts w:ascii="Arial" w:eastAsia="Arial" w:hAnsi="Arial" w:cs="Arial"/>
      <w:b/>
      <w:sz w:val="24"/>
    </w:rPr>
  </w:style>
  <w:style w:type="paragraph" w:styleId="Heading3">
    <w:name w:val="heading 3"/>
    <w:basedOn w:val="Normal"/>
    <w:next w:val="Normal"/>
    <w:pPr>
      <w:spacing w:before="120"/>
      <w:outlineLvl w:val="2"/>
    </w:pPr>
    <w:rPr>
      <w:b/>
      <w:sz w:val="24"/>
    </w:rPr>
  </w:style>
  <w:style w:type="paragraph" w:styleId="Heading4">
    <w:name w:val="heading 4"/>
    <w:basedOn w:val="Normal"/>
    <w:next w:val="Normal"/>
    <w:pPr>
      <w:spacing w:before="240" w:after="40"/>
      <w:contextualSpacing/>
      <w:outlineLvl w:val="3"/>
    </w:pPr>
    <w:rPr>
      <w:b/>
      <w:sz w:val="24"/>
    </w:rPr>
  </w:style>
  <w:style w:type="paragraph" w:styleId="Heading5">
    <w:name w:val="heading 5"/>
    <w:basedOn w:val="Normal"/>
    <w:next w:val="Normal"/>
    <w:pPr>
      <w:spacing w:before="220" w:after="40"/>
      <w:contextualSpacing/>
      <w:outlineLvl w:val="4"/>
    </w:pPr>
    <w:rPr>
      <w:b/>
      <w:sz w:val="22"/>
    </w:rPr>
  </w:style>
  <w:style w:type="paragraph" w:styleId="Heading6">
    <w:name w:val="heading 6"/>
    <w:basedOn w:val="Normal"/>
    <w:next w:val="Normal"/>
    <w:pPr>
      <w:spacing w:before="200" w:after="40"/>
      <w:contextualSpacing/>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after="240"/>
      <w:jc w:val="center"/>
    </w:pPr>
    <w:rPr>
      <w:rFonts w:ascii="Arial Black" w:eastAsia="Arial Black" w:hAnsi="Arial Black" w:cs="Arial Black"/>
      <w:sz w:val="48"/>
    </w:rPr>
  </w:style>
  <w:style w:type="paragraph" w:styleId="Subtitle">
    <w:name w:val="Subtitle"/>
    <w:basedOn w:val="Normal"/>
    <w:next w:val="Normal"/>
    <w:pPr>
      <w:spacing w:before="360" w:after="80"/>
      <w:contextualSpacing/>
    </w:pPr>
    <w:rPr>
      <w:rFonts w:ascii="Georgia" w:eastAsia="Georgia" w:hAnsi="Georgia" w:cs="Georgia"/>
      <w:i/>
      <w:color w:val="666666"/>
      <w:sz w:val="48"/>
    </w:rPr>
  </w:style>
  <w:style w:type="paragraph" w:styleId="Header">
    <w:name w:val="header"/>
    <w:basedOn w:val="Normal"/>
    <w:link w:val="HeaderChar"/>
    <w:uiPriority w:val="99"/>
    <w:unhideWhenUsed/>
    <w:rsid w:val="00FA0470"/>
    <w:pPr>
      <w:tabs>
        <w:tab w:val="center" w:pos="4513"/>
        <w:tab w:val="right" w:pos="9026"/>
      </w:tabs>
    </w:pPr>
  </w:style>
  <w:style w:type="character" w:customStyle="1" w:styleId="HeaderChar">
    <w:name w:val="Header Char"/>
    <w:link w:val="Header"/>
    <w:uiPriority w:val="99"/>
    <w:rsid w:val="00FA0470"/>
    <w:rPr>
      <w:rFonts w:ascii="Times New Roman" w:hAnsi="Times New Roman"/>
      <w:color w:val="000000"/>
      <w:szCs w:val="22"/>
    </w:rPr>
  </w:style>
  <w:style w:type="paragraph" w:styleId="Footer">
    <w:name w:val="footer"/>
    <w:basedOn w:val="Normal"/>
    <w:link w:val="FooterChar"/>
    <w:uiPriority w:val="99"/>
    <w:unhideWhenUsed/>
    <w:rsid w:val="00FA0470"/>
    <w:pPr>
      <w:tabs>
        <w:tab w:val="center" w:pos="4513"/>
        <w:tab w:val="right" w:pos="9026"/>
      </w:tabs>
    </w:pPr>
  </w:style>
  <w:style w:type="character" w:customStyle="1" w:styleId="FooterChar">
    <w:name w:val="Footer Char"/>
    <w:link w:val="Footer"/>
    <w:uiPriority w:val="99"/>
    <w:rsid w:val="00FA0470"/>
    <w:rPr>
      <w:rFonts w:ascii="Times New Roman" w:hAnsi="Times New Roman"/>
      <w:color w:val="000000"/>
      <w:szCs w:val="22"/>
    </w:rPr>
  </w:style>
  <w:style w:type="paragraph" w:styleId="BalloonText">
    <w:name w:val="Balloon Text"/>
    <w:basedOn w:val="Normal"/>
    <w:link w:val="BalloonTextChar"/>
    <w:uiPriority w:val="99"/>
    <w:semiHidden/>
    <w:unhideWhenUsed/>
    <w:rsid w:val="0089380A"/>
    <w:rPr>
      <w:sz w:val="18"/>
      <w:szCs w:val="18"/>
    </w:rPr>
  </w:style>
  <w:style w:type="character" w:customStyle="1" w:styleId="BalloonTextChar">
    <w:name w:val="Balloon Text Char"/>
    <w:link w:val="BalloonText"/>
    <w:uiPriority w:val="99"/>
    <w:semiHidden/>
    <w:rsid w:val="0089380A"/>
    <w:rPr>
      <w:rFonts w:ascii="Times New Roman" w:hAnsi="Times New Roman"/>
      <w:color w:val="000000"/>
      <w:sz w:val="18"/>
      <w:szCs w:val="18"/>
      <w:lang w:eastAsia="en-AU"/>
    </w:rPr>
  </w:style>
  <w:style w:type="character" w:styleId="CommentReference">
    <w:name w:val="annotation reference"/>
    <w:uiPriority w:val="99"/>
    <w:semiHidden/>
    <w:unhideWhenUsed/>
    <w:rsid w:val="000F3330"/>
    <w:rPr>
      <w:sz w:val="16"/>
      <w:szCs w:val="16"/>
    </w:rPr>
  </w:style>
  <w:style w:type="paragraph" w:styleId="CommentText">
    <w:name w:val="annotation text"/>
    <w:basedOn w:val="Normal"/>
    <w:link w:val="CommentTextChar"/>
    <w:uiPriority w:val="99"/>
    <w:semiHidden/>
    <w:unhideWhenUsed/>
    <w:rsid w:val="000F3330"/>
    <w:rPr>
      <w:szCs w:val="20"/>
    </w:rPr>
  </w:style>
  <w:style w:type="character" w:customStyle="1" w:styleId="CommentTextChar">
    <w:name w:val="Comment Text Char"/>
    <w:link w:val="CommentText"/>
    <w:uiPriority w:val="99"/>
    <w:semiHidden/>
    <w:rsid w:val="000F3330"/>
    <w:rPr>
      <w:rFonts w:ascii="Times New Roman" w:hAnsi="Times New Roman"/>
      <w:color w:val="000000"/>
      <w:lang w:eastAsia="en-AU"/>
    </w:rPr>
  </w:style>
  <w:style w:type="paragraph" w:styleId="CommentSubject">
    <w:name w:val="annotation subject"/>
    <w:basedOn w:val="CommentText"/>
    <w:next w:val="CommentText"/>
    <w:link w:val="CommentSubjectChar"/>
    <w:uiPriority w:val="99"/>
    <w:semiHidden/>
    <w:unhideWhenUsed/>
    <w:rsid w:val="000F3330"/>
    <w:rPr>
      <w:b/>
      <w:bCs/>
    </w:rPr>
  </w:style>
  <w:style w:type="character" w:customStyle="1" w:styleId="CommentSubjectChar">
    <w:name w:val="Comment Subject Char"/>
    <w:link w:val="CommentSubject"/>
    <w:uiPriority w:val="99"/>
    <w:semiHidden/>
    <w:rsid w:val="000F3330"/>
    <w:rPr>
      <w:rFonts w:ascii="Times New Roman" w:hAnsi="Times New Roman"/>
      <w:b/>
      <w:bCs/>
      <w:color w:val="000000"/>
      <w:lang w:eastAsia="en-AU"/>
    </w:rPr>
  </w:style>
  <w:style w:type="paragraph" w:styleId="Revision">
    <w:name w:val="Revision"/>
    <w:hidden/>
    <w:uiPriority w:val="99"/>
    <w:semiHidden/>
    <w:rsid w:val="00160F68"/>
    <w:rPr>
      <w:rFonts w:ascii="Times New Roman" w:hAnsi="Times New Roman"/>
      <w:color w:val="000000"/>
      <w:szCs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01410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6C07DC298C564AAE0E74868FE3954E" ma:contentTypeVersion="17" ma:contentTypeDescription="Create a new document." ma:contentTypeScope="" ma:versionID="fcb97a7fd63acb997e76e286b5d3f89e">
  <xsd:schema xmlns:xsd="http://www.w3.org/2001/XMLSchema" xmlns:xs="http://www.w3.org/2001/XMLSchema" xmlns:p="http://schemas.microsoft.com/office/2006/metadata/properties" xmlns:ns3="555c55db-409d-4433-88df-6f8f98e974a0" xmlns:ns4="423d4e40-2cfd-47df-8bc3-14a23955dfb0" targetNamespace="http://schemas.microsoft.com/office/2006/metadata/properties" ma:root="true" ma:fieldsID="0e8fd0bcb63e9a941b924b655f0227e6" ns3:_="" ns4:_="">
    <xsd:import namespace="555c55db-409d-4433-88df-6f8f98e974a0"/>
    <xsd:import namespace="423d4e40-2cfd-47df-8bc3-14a23955dfb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element ref="ns4:_activity" minOccurs="0"/>
                <xsd:element ref="ns4:MediaServiceObjectDetectorVersion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5c55db-409d-4433-88df-6f8f98e974a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3d4e40-2cfd-47df-8bc3-14a23955dfb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423d4e40-2cfd-47df-8bc3-14a23955dfb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3ADD50-EB17-4018-8B60-442D62659F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5c55db-409d-4433-88df-6f8f98e974a0"/>
    <ds:schemaRef ds:uri="423d4e40-2cfd-47df-8bc3-14a23955df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2DE513-DBAD-493E-8FDD-C9AC156AF778}">
  <ds:schemaRefs>
    <ds:schemaRef ds:uri="http://schemas.microsoft.com/office/2006/metadata/properties"/>
    <ds:schemaRef ds:uri="http://schemas.microsoft.com/office/infopath/2007/PartnerControls"/>
    <ds:schemaRef ds:uri="423d4e40-2cfd-47df-8bc3-14a23955dfb0"/>
  </ds:schemaRefs>
</ds:datastoreItem>
</file>

<file path=customXml/itemProps3.xml><?xml version="1.0" encoding="utf-8"?>
<ds:datastoreItem xmlns:ds="http://schemas.openxmlformats.org/officeDocument/2006/customXml" ds:itemID="{A66840D3-0B3A-420D-ACAD-8711BA79F0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732</Words>
  <Characters>4173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Conflict of Interest.docx</vt:lpstr>
    </vt:vector>
  </TitlesOfParts>
  <Company/>
  <LinksUpToDate>false</LinksUpToDate>
  <CharactersWithSpaces>4896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Conflict of Interest.docx</dc:title>
  <dc:subject/>
  <dc:creator>Leesa</dc:creator>
  <cp:keywords/>
  <cp:lastModifiedBy>License 2 | The Avenue Neighbourhood House</cp:lastModifiedBy>
  <cp:revision>2</cp:revision>
  <cp:lastPrinted>2023-11-28T04:15:00Z</cp:lastPrinted>
  <dcterms:created xsi:type="dcterms:W3CDTF">2025-10-02T02:39:00Z</dcterms:created>
  <dcterms:modified xsi:type="dcterms:W3CDTF">2025-10-02T02:39:00Z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0x010100806C07DC298C564AAE0E74868FE3954E</vt:lpwstr>
  </property>
</Properties>
</file>